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辅导员工作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/个人</w:t>
      </w:r>
      <w:r>
        <w:rPr>
          <w:rFonts w:hint="eastAsia" w:ascii="黑体" w:hAnsi="黑体" w:eastAsia="黑体" w:cs="Times New Roman"/>
          <w:sz w:val="32"/>
          <w:szCs w:val="32"/>
        </w:rPr>
        <w:t>案例模板</w:t>
      </w:r>
    </w:p>
    <w:p>
      <w:pPr>
        <w:spacing w:line="560" w:lineRule="exact"/>
        <w:ind w:right="1120" w:firstLine="600"/>
        <w:jc w:val="center"/>
        <w:rPr>
          <w:rFonts w:ascii="方正小标宋简体" w:hAnsi="黑体" w:eastAsia="方正小标宋简体" w:cstheme="majorEastAsia"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一、案例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概述与本质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案例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成因分析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三、案例处理过程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早期排摸，及时发现问题……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多方联动，开展共同帮扶……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快速响应，做好应急干预……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、案例反思与启示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未见雨而绸缪……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集合力尽其用……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以其矛攻其盾……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78024B"/>
          <w:spacing w:val="0"/>
          <w:sz w:val="24"/>
          <w:szCs w:val="24"/>
          <w:u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87668-2C6E-4195-B599-9346EC3756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E12BB0-B9DD-4CA1-A492-1BF9CD73AF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14D3CB-63AF-4CFB-866C-3B689815B7F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B25167E-465C-44FC-9D9B-D5B483F0F4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91F3DD0-5770-46B5-B4DF-4EE9C09F1C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C0A65"/>
    <w:multiLevelType w:val="singleLevel"/>
    <w:tmpl w:val="60AC0A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5B9F2DE5"/>
    <w:rsid w:val="5B9F2DE5"/>
    <w:rsid w:val="7FC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2023-07-20T18:44:00Z</dcterms:created>
  <dc:creator>厉嘉尧</dc:creator>
  <cp:lastModifiedBy>陈祎翀</cp:lastModifiedBy>
  <dcterms:modified xsi:type="dcterms:W3CDTF">2024-04-28T06:53:13Z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808E1C9667E788F10E10B964D75ACEF9_41</vt:lpwstr>
  </property>
</Properties>
</file>