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textAlignment w:val="baseline"/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textAlignment w:val="baseline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届浙江工商大学网络教育优秀作品大赛作品汇总表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27"/>
        <w:gridCol w:w="1519"/>
        <w:gridCol w:w="1752"/>
        <w:gridCol w:w="1341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06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推荐学院</w:t>
            </w:r>
          </w:p>
        </w:tc>
        <w:tc>
          <w:tcPr>
            <w:tcW w:w="6445" w:type="dxa"/>
            <w:gridSpan w:val="4"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27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作品名称</w:t>
            </w:r>
          </w:p>
        </w:tc>
        <w:tc>
          <w:tcPr>
            <w:tcW w:w="17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ind w:left="-210" w:leftChars="-1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作品链接</w:t>
            </w:r>
          </w:p>
        </w:tc>
        <w:tc>
          <w:tcPr>
            <w:tcW w:w="13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作者姓名</w:t>
            </w:r>
          </w:p>
        </w:tc>
        <w:tc>
          <w:tcPr>
            <w:tcW w:w="1833" w:type="dxa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850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优秀网络文章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46" w:type="dxa"/>
            <w:gridSpan w:val="2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46" w:type="dxa"/>
            <w:gridSpan w:val="2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505" w:type="dxa"/>
            <w:gridSpan w:val="6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优秀微视频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作品信息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46" w:type="dxa"/>
            <w:gridSpan w:val="2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46" w:type="dxa"/>
            <w:gridSpan w:val="2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505" w:type="dxa"/>
            <w:gridSpan w:val="6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优秀微宣讲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46" w:type="dxa"/>
            <w:gridSpan w:val="2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46" w:type="dxa"/>
            <w:gridSpan w:val="2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textAlignment w:val="baseline"/>
        <w:rPr>
          <w:rFonts w:hint="default" w:ascii="Times New Roman" w:hAnsi="Times New Roman" w:eastAsia="仿宋_GB2312" w:cs="Times New Roman"/>
          <w:b w:val="0"/>
          <w:bCs w:val="0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24"/>
        </w:rPr>
        <w:t>备注：每个学院一张汇总表，电子文档标题为“学院名称+网络教育优秀作品大赛汇总表”。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TliZTA5YjY4ZDcyMzRiNGE0NWVkMTY0MGI3ZTUifQ=="/>
  </w:docVars>
  <w:rsids>
    <w:rsidRoot w:val="5A561240"/>
    <w:rsid w:val="5A56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2023-11-21T02:08:00Z</dcterms:created>
  <dc:creator>厉嘉尧</dc:creator>
  <cp:lastModifiedBy>厉嘉尧</cp:lastModifiedBy>
  <dcterms:modified xsi:type="dcterms:W3CDTF">2023-11-21T02:09:00Z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846EFC13BFBC4AFFB23F10617E2C01F1</vt:lpwstr>
  </property>
</Properties>
</file>