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>1</w:t>
      </w:r>
    </w:p>
    <w:p>
      <w:pPr>
        <w:rPr>
          <w:rFonts w:hint="eastAsia"/>
        </w:rPr>
      </w:pP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浙江省高校辅导员工作案例模板</w:t>
      </w:r>
    </w:p>
    <w:bookmarkEnd w:id="0"/>
    <w:p>
      <w:pPr>
        <w:spacing w:line="560" w:lineRule="exact"/>
        <w:ind w:right="1120" w:firstLine="600"/>
        <w:jc w:val="center"/>
        <w:rPr>
          <w:rFonts w:ascii="方正小标宋简体" w:hAnsi="黑体" w:eastAsia="方正小标宋简体" w:cstheme="majorEastAsia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楷体" w:hAnsi="楷体" w:eastAsia="楷体" w:cs="Times New Roman"/>
          <w:b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一、案例背景</w:t>
      </w:r>
      <w:r>
        <w:rPr>
          <w:rFonts w:hint="eastAsia" w:ascii="黑体" w:hAnsi="黑体" w:eastAsia="黑体"/>
          <w:sz w:val="32"/>
          <w:szCs w:val="32"/>
        </w:rPr>
        <w:t>与</w:t>
      </w:r>
      <w:r>
        <w:rPr>
          <w:rFonts w:hint="eastAsia" w:ascii="黑体" w:hAnsi="黑体" w:eastAsia="黑体" w:cs="Times New Roman"/>
          <w:sz w:val="32"/>
          <w:szCs w:val="32"/>
        </w:rPr>
        <w:t>概述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……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二、案例分析与应对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1.早期排摸，及时发现问题……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2.多方联动，开展共同帮扶……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3.快速响应，做好应急干预……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三、案例反思与启示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1.未见雨而绸缪……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2.集合力尽其用……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3.以其矛攻其盾……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DB104"/>
    <w:rsid w:val="FFDDB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2022-11-16T08:40:00Z</dcterms:created>
  <dc:creator>厉嘉尧</dc:creator>
  <cp:lastModifiedBy>厉嘉尧</cp:lastModifiedBy>
  <dcterms:modified xsi:type="dcterms:W3CDTF">2022-11-16T08:40:51Z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5FB5004A82217799613174637CC0D89A</vt:lpwstr>
  </property>
</Properties>
</file>