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附件1：</w:t>
      </w:r>
    </w:p>
    <w:p>
      <w:pPr>
        <w:spacing w:line="360" w:lineRule="auto"/>
        <w:jc w:val="center"/>
        <w:rPr>
          <w:rFonts w:hint="eastAsia" w:ascii="华光小标宋_CNKI" w:hAnsi="华光小标宋_CNKI" w:eastAsia="华光小标宋_CNKI" w:cs="仿宋_GB2312"/>
          <w:b/>
          <w:bCs/>
          <w:sz w:val="32"/>
          <w:szCs w:val="32"/>
        </w:rPr>
      </w:pPr>
      <w:bookmarkStart w:id="0" w:name="_GoBack"/>
      <w:r>
        <w:rPr>
          <w:rFonts w:hint="eastAsia" w:ascii="华光小标宋_CNKI" w:hAnsi="华光小标宋_CNKI" w:eastAsia="华光小标宋_CNKI" w:cs="仿宋_GB2312"/>
          <w:b/>
          <w:bCs/>
          <w:sz w:val="32"/>
          <w:szCs w:val="32"/>
        </w:rPr>
        <w:t>浙江工商大学新时代大学生思政实践教育基地（项目）建设标准</w:t>
      </w:r>
      <w:bookmarkEnd w:id="0"/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</w:rPr>
        <w:t>科学规划。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新时代大学生思政实践教育基地的建设要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整合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大学生思想政治教育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教育资源，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结合思政教育、劳动实践教育、社会治理、产业发展、城市文化等内容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，加强区域交流与合作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遵循学生成长规律，符合学生专业特点，引导学生树立正确的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世界观、人生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观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价值观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，增强对劳动人民的感情，奉献社会。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</w:rPr>
        <w:t>二、内容丰富。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结合学生生活成长环境，更新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思政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教育观念，改进教育方式，拓宽实践渠道，丰富教育内容，注重实践体验，让学生亲历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实践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过程。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</w:rPr>
        <w:t>三、机制成熟。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根据地域和基地实际，积极探索具有本地特色和专业特点相互融合的教育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实践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模式，创新体制机制，注重教育实效，切实提高教育水平。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</w:rPr>
        <w:t>四、课程设置。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形成一套符合大学生实践需求的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基地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讲解和指导内容。学生可以亲自参与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学习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实践，课程对不同专业的实践教育有所区分。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</w:rPr>
        <w:t>五、配套设施。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因地制宜，基础设施完善，布局科学合理，相关的教学仪器、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实践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工具、设施设备性能完好，可供学生开展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学习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实践的项目内容丰富。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</w:rPr>
        <w:t>六、师资配备。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配有与接待学生相适应的专业辅导、讲解人员，能够结合实践教育要求，进行讲解、示范和辅导教学，提供有针对性、互动性和引导性的教育指导。</w:t>
      </w:r>
    </w:p>
    <w:p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</w:rPr>
        <w:t>七、规范管理。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完善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大学生思政实践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教育计划，关于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基地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的组织管理、档案管理、值班值勤、安全预案等方面的工作制度健全。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12934"/>
    <w:rsid w:val="10D1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2021-03-30T07:44:00Z</dcterms:created>
  <dc:creator>小二菇凉</dc:creator>
  <cp:lastModifiedBy>小二菇凉</cp:lastModifiedBy>
  <dcterms:modified xsi:type="dcterms:W3CDTF">2021-03-30T07:46:47Z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3E22338815214BD3A32C98BFC4200E15</vt:lpwstr>
  </property>
</Properties>
</file>